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9327" w14:textId="58AB68C1" w:rsidR="00B90A01" w:rsidRPr="00540E51" w:rsidRDefault="00B90A01" w:rsidP="00540E5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 w:rsidRPr="00540E51">
        <w:rPr>
          <w:rFonts w:ascii="Arial" w:hAnsi="Arial" w:cs="Arial"/>
          <w:b/>
          <w:bCs/>
          <w:color w:val="202122"/>
          <w:sz w:val="21"/>
          <w:szCs w:val="21"/>
        </w:rPr>
        <w:t>FOURQUEUX</w:t>
      </w:r>
    </w:p>
    <w:p w14:paraId="14F6D2F5" w14:textId="77777777" w:rsidR="00B90A01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48709B68" w14:textId="7E0806B9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La découverte de haches de pierre polies, au </w:t>
      </w:r>
      <w:hyperlink r:id="rId4" w:tooltip="XIXe siècle" w:history="1">
        <w:proofErr w:type="spellStart"/>
        <w:r w:rsidRPr="00122B34">
          <w:rPr>
            <w:rStyle w:val="romain"/>
            <w:rFonts w:ascii="Arial" w:hAnsi="Arial" w:cs="Arial"/>
            <w:smallCaps/>
            <w:color w:val="000000" w:themeColor="text1"/>
            <w:sz w:val="21"/>
            <w:szCs w:val="21"/>
          </w:rPr>
          <w:t>xix</w:t>
        </w:r>
        <w:r w:rsidRPr="00122B34">
          <w:rPr>
            <w:rStyle w:val="Lienhypertexte"/>
            <w:rFonts w:ascii="Arial" w:hAnsi="Arial" w:cs="Arial"/>
            <w:color w:val="000000" w:themeColor="text1"/>
            <w:sz w:val="15"/>
            <w:szCs w:val="15"/>
            <w:u w:val="none"/>
            <w:vertAlign w:val="superscript"/>
          </w:rPr>
          <w:t>e</w:t>
        </w:r>
        <w:proofErr w:type="spellEnd"/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 siècle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, indique que </w:t>
      </w:r>
      <w:proofErr w:type="spellStart"/>
      <w:r w:rsidRPr="00122B34">
        <w:rPr>
          <w:rFonts w:ascii="Arial" w:hAnsi="Arial" w:cs="Arial"/>
          <w:color w:val="000000" w:themeColor="text1"/>
          <w:sz w:val="21"/>
          <w:szCs w:val="21"/>
        </w:rPr>
        <w:t>Fourqueux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 était habité à l'époque </w:t>
      </w:r>
      <w:hyperlink r:id="rId5" w:tooltip="Néolithiqu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néolithique</w:t>
        </w:r>
      </w:hyperlink>
      <w:hyperlink r:id="rId6" w:anchor="cite_note-Monographie-4" w:history="1">
        <w:r w:rsidRPr="00122B34">
          <w:rPr>
            <w:rStyle w:val="Lienhypertexte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4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 Le territoire occupé aujourd'hui par la commune de Fourqueux était fréquenté à l'époque </w:t>
      </w:r>
      <w:hyperlink r:id="rId7" w:tooltip="Mérovingiens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mérovingienne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, comme en témoigne </w:t>
      </w: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>le </w:t>
      </w:r>
      <w:hyperlink r:id="rId8" w:tooltip="Baptistère" w:history="1">
        <w:r w:rsidRPr="00122B34">
          <w:rPr>
            <w:rStyle w:val="Lienhypertexte"/>
            <w:rFonts w:ascii="Arial" w:hAnsi="Arial" w:cs="Arial"/>
            <w:b/>
            <w:bCs/>
            <w:color w:val="000000" w:themeColor="text1"/>
            <w:sz w:val="21"/>
            <w:szCs w:val="21"/>
            <w:u w:val="none"/>
          </w:rPr>
          <w:t>baptistère</w:t>
        </w:r>
      </w:hyperlink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 toujours visible dans la cave de la « Villa </w:t>
      </w:r>
      <w:proofErr w:type="spellStart"/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>Collin</w:t>
      </w:r>
      <w:proofErr w:type="spellEnd"/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> ».</w:t>
      </w:r>
    </w:p>
    <w:p w14:paraId="29B8F0F8" w14:textId="7C140018" w:rsidR="00540E51" w:rsidRPr="00122B34" w:rsidRDefault="00B90A01" w:rsidP="00540E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Au </w:t>
      </w:r>
      <w:proofErr w:type="spellStart"/>
      <w:r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vii</w:t>
      </w:r>
      <w:r w:rsidRPr="00122B34">
        <w:rPr>
          <w:rFonts w:ascii="Arial" w:hAnsi="Arial" w:cs="Arial"/>
          <w:color w:val="000000" w:themeColor="text1"/>
          <w:sz w:val="15"/>
          <w:szCs w:val="15"/>
          <w:vertAlign w:val="superscript"/>
        </w:rPr>
        <w:t>e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 siècle, la reine </w:t>
      </w:r>
      <w:hyperlink r:id="rId9" w:tooltip="Clotilde (femme de Thierry III)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Clotilde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y finance une </w:t>
      </w:r>
      <w:hyperlink r:id="rId10" w:tooltip="Chapell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chapelle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qui deviendra, au </w:t>
      </w:r>
      <w:proofErr w:type="spellStart"/>
      <w:r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xii</w:t>
      </w:r>
      <w:r w:rsidRPr="00122B34">
        <w:rPr>
          <w:rFonts w:ascii="Arial" w:hAnsi="Arial" w:cs="Arial"/>
          <w:color w:val="000000" w:themeColor="text1"/>
          <w:sz w:val="15"/>
          <w:szCs w:val="15"/>
          <w:vertAlign w:val="superscript"/>
        </w:rPr>
        <w:t>e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 siècle, l'église Sainte-Croix, ainsi baptisée en raison des restes de la « </w:t>
      </w:r>
      <w:hyperlink r:id="rId11" w:tooltip="Vraie Croix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Vraie Croix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» que </w:t>
      </w:r>
      <w:hyperlink r:id="rId12" w:tooltip="Louis IX de Franc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Saint Louis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aurait rachetés en 1238.</w:t>
      </w:r>
      <w:r w:rsidR="00540E51" w:rsidRPr="00122B34">
        <w:rPr>
          <w:rFonts w:ascii="Arial" w:hAnsi="Arial" w:cs="Arial"/>
          <w:color w:val="000000" w:themeColor="text1"/>
          <w:sz w:val="21"/>
          <w:szCs w:val="21"/>
        </w:rPr>
        <w:t xml:space="preserve"> L'église actuelle date du </w:t>
      </w:r>
      <w:proofErr w:type="spellStart"/>
      <w:r w:rsidR="00540E51"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xiii</w:t>
      </w:r>
      <w:r w:rsidR="00540E51" w:rsidRPr="00122B34">
        <w:rPr>
          <w:rFonts w:ascii="Arial" w:hAnsi="Arial" w:cs="Arial"/>
          <w:color w:val="000000" w:themeColor="text1"/>
          <w:sz w:val="15"/>
          <w:szCs w:val="15"/>
          <w:vertAlign w:val="superscript"/>
        </w:rPr>
        <w:t>e</w:t>
      </w:r>
      <w:proofErr w:type="spellEnd"/>
      <w:r w:rsidR="00540E51" w:rsidRPr="00122B34">
        <w:rPr>
          <w:rFonts w:ascii="Arial" w:hAnsi="Arial" w:cs="Arial"/>
          <w:color w:val="000000" w:themeColor="text1"/>
          <w:sz w:val="21"/>
          <w:szCs w:val="21"/>
        </w:rPr>
        <w:t> et </w:t>
      </w:r>
      <w:proofErr w:type="spellStart"/>
      <w:r w:rsidR="00540E51"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xiv</w:t>
      </w:r>
      <w:r w:rsidR="00540E51" w:rsidRPr="00122B34">
        <w:rPr>
          <w:rFonts w:ascii="Arial" w:hAnsi="Arial" w:cs="Arial"/>
          <w:color w:val="000000" w:themeColor="text1"/>
          <w:sz w:val="15"/>
          <w:szCs w:val="15"/>
          <w:vertAlign w:val="superscript"/>
        </w:rPr>
        <w:t>e</w:t>
      </w:r>
      <w:proofErr w:type="spellEnd"/>
      <w:r w:rsidR="00540E51" w:rsidRPr="00122B34">
        <w:rPr>
          <w:rFonts w:ascii="Arial" w:hAnsi="Arial" w:cs="Arial"/>
          <w:color w:val="000000" w:themeColor="text1"/>
          <w:sz w:val="21"/>
          <w:szCs w:val="21"/>
        </w:rPr>
        <w:t> siècles.</w:t>
      </w:r>
    </w:p>
    <w:p w14:paraId="532ADE2F" w14:textId="77777777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En </w:t>
      </w:r>
      <w:hyperlink r:id="rId13" w:tooltip="811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811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le nom de la localité est mentionné dans le testament de </w:t>
      </w:r>
      <w:hyperlink r:id="rId14" w:tooltip="Charlemagn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Charlemagne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qui cite également ses vignes.</w:t>
      </w:r>
    </w:p>
    <w:p w14:paraId="2E9AA092" w14:textId="0FB503DF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En </w:t>
      </w:r>
      <w:hyperlink r:id="rId15" w:tooltip="1111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1111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6" w:tooltip="Louis VI le Gros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Louis VI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exempte Barthélémy de Fourqueux de tous droits de </w:t>
      </w:r>
      <w:hyperlink r:id="rId17" w:tooltip="Taille (impôt)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taille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chevauchée</w:t>
      </w:r>
      <w:bookmarkStart w:id="0" w:name="_GoBack"/>
      <w:bookmarkEnd w:id="0"/>
      <w:r w:rsidRPr="00122B34">
        <w:rPr>
          <w:rFonts w:ascii="Arial" w:hAnsi="Arial" w:cs="Arial"/>
          <w:color w:val="000000" w:themeColor="text1"/>
          <w:sz w:val="21"/>
          <w:szCs w:val="21"/>
        </w:rPr>
        <w:t>, exactions prévôtales pour le four qu'il possède à </w:t>
      </w:r>
      <w:hyperlink r:id="rId18" w:tooltip="Paris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Paris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avec six </w:t>
      </w:r>
      <w:hyperlink r:id="rId19" w:tooltip="Boulanger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boulangers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et un fournier. La </w:t>
      </w:r>
      <w:hyperlink r:id="rId20" w:tooltip="Seigneuri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seigneurie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de Fourqueux relevait du Roi de France à cause de la </w:t>
      </w:r>
      <w:hyperlink r:id="rId21" w:tooltip="Châtelleni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châtellenie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de </w:t>
      </w:r>
      <w:hyperlink r:id="rId22" w:tooltip="Poissy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Poissy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 En </w:t>
      </w:r>
      <w:hyperlink r:id="rId23" w:tooltip="1124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1124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Louis VI confirme à l'église de Saint-Germain-en-Laye une rente d'un </w:t>
      </w:r>
      <w:hyperlink r:id="rId24" w:tooltip="Muid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muid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de </w:t>
      </w:r>
      <w:hyperlink r:id="rId25" w:tooltip="Blé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blé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sur le moulin que les </w:t>
      </w:r>
      <w:hyperlink r:id="rId26" w:tooltip="Abbaye Notre-Dame de Coulombs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moines de Coulombs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ont permis à Barthélém</w:t>
      </w:r>
      <w:r w:rsidR="00122B34">
        <w:rPr>
          <w:rFonts w:ascii="Arial" w:hAnsi="Arial" w:cs="Arial"/>
          <w:color w:val="000000" w:themeColor="text1"/>
          <w:sz w:val="21"/>
          <w:szCs w:val="21"/>
        </w:rPr>
        <w:t xml:space="preserve">y de </w:t>
      </w:r>
      <w:proofErr w:type="spellStart"/>
      <w:r w:rsidR="00122B34">
        <w:rPr>
          <w:rFonts w:ascii="Arial" w:hAnsi="Arial" w:cs="Arial"/>
          <w:color w:val="000000" w:themeColor="text1"/>
          <w:sz w:val="21"/>
          <w:szCs w:val="21"/>
        </w:rPr>
        <w:t>Fourqueux</w:t>
      </w:r>
      <w:proofErr w:type="spellEnd"/>
      <w:r w:rsidR="00122B34">
        <w:rPr>
          <w:rFonts w:ascii="Arial" w:hAnsi="Arial" w:cs="Arial"/>
          <w:color w:val="000000" w:themeColor="text1"/>
          <w:sz w:val="21"/>
          <w:szCs w:val="21"/>
        </w:rPr>
        <w:t xml:space="preserve"> de construire au-</w:t>
      </w:r>
      <w:r w:rsidRPr="00122B34">
        <w:rPr>
          <w:rFonts w:ascii="Arial" w:hAnsi="Arial" w:cs="Arial"/>
          <w:color w:val="000000" w:themeColor="text1"/>
          <w:sz w:val="21"/>
          <w:szCs w:val="21"/>
        </w:rPr>
        <w:t>dessus de l'étang de Saint-Germain.</w:t>
      </w:r>
    </w:p>
    <w:p w14:paraId="7D0EBF4D" w14:textId="77777777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Il semble qu'au </w:t>
      </w:r>
      <w:hyperlink r:id="rId27" w:tooltip="Moyen Âg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Moyen Âge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ce territoire comprenait essentiellement des taillis et des forêts couvertes de </w:t>
      </w:r>
      <w:hyperlink r:id="rId28" w:tooltip="Filicophyta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fougères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</w:t>
      </w:r>
      <w:r w:rsidRPr="00122B34">
        <w:rPr>
          <w:rFonts w:ascii="Arial" w:hAnsi="Arial" w:cs="Arial"/>
          <w:i/>
          <w:iCs/>
          <w:color w:val="000000" w:themeColor="text1"/>
          <w:sz w:val="21"/>
          <w:szCs w:val="21"/>
        </w:rPr>
        <w:t>(</w:t>
      </w:r>
      <w:proofErr w:type="spellStart"/>
      <w:r w:rsidRPr="00122B34">
        <w:rPr>
          <w:rFonts w:ascii="Arial" w:hAnsi="Arial" w:cs="Arial"/>
          <w:i/>
          <w:iCs/>
          <w:color w:val="000000" w:themeColor="text1"/>
          <w:sz w:val="21"/>
          <w:szCs w:val="21"/>
        </w:rPr>
        <w:t>filcusas</w:t>
      </w:r>
      <w:proofErr w:type="spellEnd"/>
      <w:r w:rsidRPr="00122B34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122B34">
        <w:rPr>
          <w:rFonts w:ascii="Arial" w:hAnsi="Arial" w:cs="Arial"/>
          <w:color w:val="000000" w:themeColor="text1"/>
          <w:sz w:val="21"/>
          <w:szCs w:val="21"/>
        </w:rPr>
        <w:t>, qui lui ont donné son nom</w:t>
      </w:r>
      <w:hyperlink r:id="rId29" w:anchor="cite_note-cocheris-3" w:history="1">
        <w:r w:rsidRPr="00122B34">
          <w:rPr>
            <w:rStyle w:val="Lienhypertexte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3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 Au </w:t>
      </w:r>
      <w:proofErr w:type="spellStart"/>
      <w:r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xi</w:t>
      </w:r>
      <w:r w:rsidRPr="00122B34">
        <w:rPr>
          <w:rFonts w:ascii="Arial" w:hAnsi="Arial" w:cs="Arial"/>
          <w:color w:val="000000" w:themeColor="text1"/>
          <w:sz w:val="15"/>
          <w:szCs w:val="15"/>
          <w:vertAlign w:val="superscript"/>
        </w:rPr>
        <w:t>e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 siècle, l'</w:t>
      </w:r>
      <w:hyperlink r:id="rId30" w:tooltip="Abbaye de Joyenval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abbaye de </w:t>
        </w:r>
        <w:proofErr w:type="spellStart"/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Joyenval</w:t>
        </w:r>
        <w:proofErr w:type="spellEnd"/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qui cultive des terres attenantes, décide d'</w:t>
      </w:r>
      <w:hyperlink r:id="rId31" w:tooltip="Essart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essarter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la forêt pour ouvrir des routes vers les localités des environs. Quelques </w:t>
      </w:r>
      <w:hyperlink r:id="rId32" w:tooltip="Colonat partiair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colons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s'établissent sur le terrain, qui devient alors </w:t>
      </w:r>
      <w:proofErr w:type="spellStart"/>
      <w:r w:rsidRPr="00122B34">
        <w:rPr>
          <w:rFonts w:ascii="Arial" w:hAnsi="Arial" w:cs="Arial"/>
          <w:i/>
          <w:iCs/>
          <w:color w:val="000000" w:themeColor="text1"/>
          <w:sz w:val="21"/>
          <w:szCs w:val="21"/>
        </w:rPr>
        <w:t>Fulcosium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, puis </w:t>
      </w:r>
      <w:proofErr w:type="spellStart"/>
      <w:r w:rsidRPr="00122B34">
        <w:rPr>
          <w:rFonts w:ascii="Arial" w:hAnsi="Arial" w:cs="Arial"/>
          <w:i/>
          <w:iCs/>
          <w:color w:val="000000" w:themeColor="text1"/>
          <w:sz w:val="21"/>
          <w:szCs w:val="21"/>
        </w:rPr>
        <w:t>Fulcosa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 au </w:t>
      </w:r>
      <w:proofErr w:type="spellStart"/>
      <w:r w:rsidRPr="00122B34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122B34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"https://fr.wikipedia.org/wiki/XIIe_si%C3%A8cle" \o "XIIe siècle" </w:instrText>
      </w:r>
      <w:r w:rsidRPr="00122B34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122B34">
        <w:rPr>
          <w:rStyle w:val="romain"/>
          <w:rFonts w:ascii="Arial" w:hAnsi="Arial" w:cs="Arial"/>
          <w:smallCaps/>
          <w:color w:val="000000" w:themeColor="text1"/>
          <w:sz w:val="21"/>
          <w:szCs w:val="21"/>
        </w:rPr>
        <w:t>xii</w:t>
      </w:r>
      <w:r w:rsidRPr="00122B34">
        <w:rPr>
          <w:rStyle w:val="Lienhypertexte"/>
          <w:rFonts w:ascii="Arial" w:hAnsi="Arial" w:cs="Arial"/>
          <w:color w:val="000000" w:themeColor="text1"/>
          <w:sz w:val="15"/>
          <w:szCs w:val="15"/>
          <w:u w:val="none"/>
          <w:vertAlign w:val="superscript"/>
        </w:rPr>
        <w:t>e</w:t>
      </w:r>
      <w:proofErr w:type="spellEnd"/>
      <w:r w:rsidRPr="00122B34">
        <w:rPr>
          <w:rStyle w:val="Lienhypertexte"/>
          <w:rFonts w:ascii="Arial" w:hAnsi="Arial" w:cs="Arial"/>
          <w:color w:val="000000" w:themeColor="text1"/>
          <w:sz w:val="21"/>
          <w:szCs w:val="21"/>
          <w:u w:val="none"/>
        </w:rPr>
        <w:t> siècle</w:t>
      </w:r>
      <w:r w:rsidRPr="00122B34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. Le seigneur Barthélemy de </w:t>
      </w:r>
      <w:proofErr w:type="spellStart"/>
      <w:r w:rsidRPr="00122B34">
        <w:rPr>
          <w:rFonts w:ascii="Arial" w:hAnsi="Arial" w:cs="Arial"/>
          <w:color w:val="000000" w:themeColor="text1"/>
          <w:sz w:val="21"/>
          <w:szCs w:val="21"/>
        </w:rPr>
        <w:t>Fulcosa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 et ses descendants y exerçaient alors la </w:t>
      </w:r>
      <w:hyperlink r:id="rId33" w:tooltip="Justice seigneurial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haute, moyenne et basse justice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BBD4CEC" w14:textId="32FCC45C" w:rsidR="00B90A01" w:rsidRPr="00122B34" w:rsidRDefault="00B90A01" w:rsidP="00122B34">
      <w:pPr>
        <w:pStyle w:val="NormalWeb"/>
        <w:shd w:val="clear" w:color="auto" w:fill="FFFFFF"/>
        <w:tabs>
          <w:tab w:val="right" w:pos="9072"/>
        </w:tabs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Territoire de chasse, Fourqueux devient progressivement une terre agricole.</w:t>
      </w:r>
      <w:r w:rsidR="00122B34" w:rsidRPr="00122B34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83CBF1F" w14:textId="77777777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En 1539, Étienne de Montmirail, qui a hérité de la seigneurie, la vend à </w:t>
      </w:r>
      <w:hyperlink r:id="rId34" w:tooltip="Pierre Séguier (1504-1580)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Pierre Séguier (1504-1580)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président du parlement de Paris. Son petit-fils </w:t>
      </w:r>
      <w:hyperlink r:id="rId35" w:tooltip="Pierre Séguier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Pierre Séguier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devenu garde des Sceaux du </w:t>
      </w:r>
      <w:hyperlink r:id="rId36" w:tooltip="Armand Jean du Plessis de Richelieu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cardinal de Richelieu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cède le domaine au roi </w:t>
      </w:r>
      <w:hyperlink r:id="rId37" w:tooltip="Louis XIII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Louis XIII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le </w:t>
      </w:r>
      <w:hyperlink r:id="rId38" w:tooltip="22 juin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22 juin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39" w:tooltip="1633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1633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 Le roi en fait don à son médecin, Charles Bouvard. Ses descendants, les Bouvard de Fourqueux garderont le domaine jusqu'à la </w:t>
      </w:r>
      <w:hyperlink r:id="rId40" w:tooltip="Révolution français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Révolution française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peu après la mort de </w:t>
      </w:r>
      <w:hyperlink r:id="rId41" w:tooltip="Michel Bouvard de Fourqueux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Michel Bouvard de Fourqueux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>Leurs cercueils sont conservés dans la cave voûtée de l'église de Fourqueux.</w:t>
      </w:r>
    </w:p>
    <w:p w14:paraId="6D7CC361" w14:textId="77777777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Le dernier seigneur de Fourqueux fut le comte de Monteynard, qui vendit le château en 1841. Le bâtiment fut alors détruit, et ses matériaux vendus.</w:t>
      </w:r>
    </w:p>
    <w:p w14:paraId="66604624" w14:textId="2605BB2A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En villégiature dans la région, </w:t>
      </w:r>
      <w:hyperlink r:id="rId42" w:tooltip="Victor Hugo" w:history="1">
        <w:r w:rsidRPr="00122B34">
          <w:rPr>
            <w:rStyle w:val="Lienhypertexte"/>
            <w:rFonts w:ascii="Arial" w:hAnsi="Arial" w:cs="Arial"/>
            <w:b/>
            <w:bCs/>
            <w:color w:val="000000" w:themeColor="text1"/>
            <w:sz w:val="21"/>
            <w:szCs w:val="21"/>
            <w:u w:val="none"/>
          </w:rPr>
          <w:t>Victor Hugo</w:t>
        </w:r>
      </w:hyperlink>
      <w:r w:rsidRPr="00122B34">
        <w:rPr>
          <w:rFonts w:ascii="Arial" w:hAnsi="Arial" w:cs="Arial"/>
          <w:b/>
          <w:bCs/>
          <w:color w:val="000000" w:themeColor="text1"/>
          <w:sz w:val="21"/>
          <w:szCs w:val="21"/>
        </w:rPr>
        <w:t> découvre Fourqueux,</w:t>
      </w:r>
      <w:r w:rsidRPr="00122B34">
        <w:rPr>
          <w:rFonts w:ascii="Arial" w:hAnsi="Arial" w:cs="Arial"/>
          <w:color w:val="000000" w:themeColor="text1"/>
          <w:sz w:val="21"/>
          <w:szCs w:val="21"/>
        </w:rPr>
        <w:t xml:space="preserve"> et décide, en 1836, de louer pour sa famille une maison rue de Saint-Nom, propriété de la famille </w:t>
      </w:r>
      <w:proofErr w:type="spellStart"/>
      <w:r w:rsidRPr="00122B34">
        <w:rPr>
          <w:rFonts w:ascii="Arial" w:hAnsi="Arial" w:cs="Arial"/>
          <w:color w:val="000000" w:themeColor="text1"/>
          <w:sz w:val="21"/>
          <w:szCs w:val="21"/>
        </w:rPr>
        <w:t>Marret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</w:rPr>
        <w:t>. Sa fille </w:t>
      </w:r>
      <w:hyperlink r:id="rId43" w:tooltip="Léopoldine Hugo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Léopoldine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fit sa communion à l'église Sainte-Croix du village. D'autres personnalités de l'époque sont venu</w:t>
      </w:r>
      <w:r w:rsidR="00122B34">
        <w:rPr>
          <w:rFonts w:ascii="Arial" w:hAnsi="Arial" w:cs="Arial"/>
          <w:color w:val="000000" w:themeColor="text1"/>
          <w:sz w:val="21"/>
          <w:szCs w:val="21"/>
        </w:rPr>
        <w:t>e</w:t>
      </w:r>
      <w:r w:rsidRPr="00122B34">
        <w:rPr>
          <w:rFonts w:ascii="Arial" w:hAnsi="Arial" w:cs="Arial"/>
          <w:color w:val="000000" w:themeColor="text1"/>
          <w:sz w:val="21"/>
          <w:szCs w:val="21"/>
        </w:rPr>
        <w:t>s rendre visite à Hugo, comme </w:t>
      </w:r>
      <w:hyperlink r:id="rId44" w:tooltip="Alexandre Dumas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Alexandre Dumas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66FAE1E" w14:textId="77777777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Après la </w:t>
      </w:r>
      <w:hyperlink r:id="rId45" w:tooltip="Première Guerre mondiale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Première Guerre mondiale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, le peintre </w:t>
      </w:r>
      <w:hyperlink r:id="rId46" w:tooltip="Henri Marret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Henri </w:t>
        </w:r>
        <w:proofErr w:type="spellStart"/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Marret</w:t>
        </w:r>
        <w:proofErr w:type="spellEnd"/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s'installe définitivement dans la maison familiale, et aménage son atelier dans le parc. La chanteuse </w:t>
      </w:r>
      <w:hyperlink r:id="rId47" w:tooltip="Chantal Goya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Chantal Goya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et son mari </w:t>
      </w:r>
      <w:hyperlink r:id="rId48" w:tooltip="Jean-Jacques Debout" w:history="1">
        <w:r w:rsidRPr="00122B34">
          <w:rPr>
            <w:rStyle w:val="Lienhypertexte"/>
            <w:rFonts w:ascii="Arial" w:hAnsi="Arial" w:cs="Arial"/>
            <w:color w:val="000000" w:themeColor="text1"/>
            <w:sz w:val="21"/>
            <w:szCs w:val="21"/>
            <w:u w:val="none"/>
          </w:rPr>
          <w:t>Jean-Jacques Debout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</w:rPr>
        <w:t> y habiteront également par la suite.</w:t>
      </w:r>
    </w:p>
    <w:p w14:paraId="557782F9" w14:textId="265492DB" w:rsidR="00B90A01" w:rsidRPr="00122B34" w:rsidRDefault="00B90A0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22B34">
        <w:rPr>
          <w:rFonts w:ascii="Arial" w:hAnsi="Arial" w:cs="Arial"/>
          <w:color w:val="000000" w:themeColor="text1"/>
          <w:sz w:val="21"/>
          <w:szCs w:val="21"/>
        </w:rPr>
        <w:t>Dans les années 1980-1990, un boom immobilier, surtout dû à la présence du Lycée International, fait étendre la commune, et crée ce qui est aujourd'hui le quartier des Terres Fleuries. Logiquement, c'est le principal lieu d'habitation des expatriés.</w:t>
      </w:r>
    </w:p>
    <w:p w14:paraId="15929209" w14:textId="77777777" w:rsidR="00540E51" w:rsidRPr="00122B34" w:rsidRDefault="00540E51" w:rsidP="00B90A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14:paraId="7F5F1A97" w14:textId="77777777" w:rsidR="00540E51" w:rsidRPr="00122B34" w:rsidRDefault="00540E51" w:rsidP="00540E51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BOUTE ROUE</w:t>
      </w:r>
    </w:p>
    <w:p w14:paraId="6061E592" w14:textId="77777777" w:rsidR="00540E51" w:rsidRPr="00122B34" w:rsidRDefault="00540E51" w:rsidP="00540E51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Un </w:t>
      </w: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chasse-roue</w:t>
      </w:r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appelé aussi </w:t>
      </w: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chasse-moyeux</w:t>
      </w:r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est une pièce métallique ou en pierre située au pied d'une </w:t>
      </w:r>
      <w:hyperlink r:id="rId49" w:tooltip="Porte cochère" w:history="1">
        <w:r w:rsidRPr="00122B3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porte cochère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ou d'un </w:t>
      </w:r>
      <w:hyperlink r:id="rId50" w:tooltip="Mur" w:history="1">
        <w:r w:rsidRPr="00122B3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mur</w:t>
        </w:r>
      </w:hyperlink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et qui est destinée à empêcher les roues de détériorer le mur. On le désigne également par </w:t>
      </w:r>
      <w:proofErr w:type="spellStart"/>
      <w:r w:rsidRPr="00122B3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boute-roue</w:t>
      </w:r>
      <w:proofErr w:type="spellEnd"/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ou </w:t>
      </w:r>
      <w:r w:rsidRPr="00122B3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bouteroue</w:t>
      </w:r>
      <w:r w:rsidRPr="00122B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26B106DB" w14:textId="77777777" w:rsidR="00540E51" w:rsidRPr="00122B34" w:rsidRDefault="00540E51" w:rsidP="00540E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Les chasse-roues se sont développés depuis l'Antiquité pendant toute l'époque des transports avec des voitures ou </w:t>
      </w:r>
      <w:hyperlink r:id="rId51" w:tooltip="Voiture (hippomobile)" w:history="1">
        <w:r w:rsidRPr="00122B34">
          <w:rPr>
            <w:rFonts w:ascii="Arial" w:eastAsia="Times New Roman" w:hAnsi="Arial" w:cs="Arial"/>
            <w:color w:val="000000" w:themeColor="text1"/>
            <w:sz w:val="21"/>
            <w:szCs w:val="21"/>
            <w:lang w:eastAsia="fr-FR"/>
          </w:rPr>
          <w:t>charrettes à cheval</w:t>
        </w:r>
      </w:hyperlink>
    </w:p>
    <w:p w14:paraId="1A795E28" w14:textId="60B943C5" w:rsidR="00B90A01" w:rsidRPr="00122B34" w:rsidRDefault="00540E51" w:rsidP="00540E51">
      <w:pPr>
        <w:shd w:val="clear" w:color="auto" w:fill="FFFFFF"/>
        <w:spacing w:before="120" w:after="120" w:line="240" w:lineRule="auto"/>
        <w:rPr>
          <w:color w:val="000000" w:themeColor="text1"/>
        </w:rPr>
      </w:pPr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La conduite de ces véhicules était parfois délicate pour un </w:t>
      </w:r>
      <w:hyperlink r:id="rId52" w:tooltip="Cocher" w:history="1">
        <w:r w:rsidRPr="00122B34">
          <w:rPr>
            <w:rFonts w:ascii="Arial" w:eastAsia="Times New Roman" w:hAnsi="Arial" w:cs="Arial"/>
            <w:color w:val="000000" w:themeColor="text1"/>
            <w:sz w:val="21"/>
            <w:szCs w:val="21"/>
            <w:lang w:eastAsia="fr-FR"/>
          </w:rPr>
          <w:t>cocher</w:t>
        </w:r>
      </w:hyperlink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 malhabile ou avec des chevaux rétifs. De plus, les roues et notamment leur </w:t>
      </w:r>
      <w:hyperlink r:id="rId53" w:tooltip="Moyeu" w:history="1">
        <w:r w:rsidRPr="00122B34">
          <w:rPr>
            <w:rFonts w:ascii="Arial" w:eastAsia="Times New Roman" w:hAnsi="Arial" w:cs="Arial"/>
            <w:color w:val="000000" w:themeColor="text1"/>
            <w:sz w:val="21"/>
            <w:szCs w:val="21"/>
            <w:lang w:eastAsia="fr-FR"/>
          </w:rPr>
          <w:t>moyeu</w:t>
        </w:r>
      </w:hyperlink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 dépassaient à l'extérieur du véhicule. Le risque était donc élevé que la roue ou son moyeu heurte et dégrade les montants d'une porte cochère ou le coin d'un mur. Au </w:t>
      </w:r>
      <w:hyperlink r:id="rId54" w:tooltip="Moyen Âge" w:history="1">
        <w:r w:rsidRPr="00122B34">
          <w:rPr>
            <w:rFonts w:ascii="Arial" w:eastAsia="Times New Roman" w:hAnsi="Arial" w:cs="Arial"/>
            <w:color w:val="000000" w:themeColor="text1"/>
            <w:sz w:val="21"/>
            <w:szCs w:val="21"/>
            <w:lang w:eastAsia="fr-FR"/>
          </w:rPr>
          <w:t>Moyen Âge</w:t>
        </w:r>
      </w:hyperlink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, les chasse-roues sont généralement des murets aménagés à la base du </w:t>
      </w:r>
      <w:hyperlink r:id="rId55" w:tooltip="Parapet" w:history="1">
        <w:r w:rsidRPr="00122B34">
          <w:rPr>
            <w:rFonts w:ascii="Arial" w:eastAsia="Times New Roman" w:hAnsi="Arial" w:cs="Arial"/>
            <w:color w:val="000000" w:themeColor="text1"/>
            <w:sz w:val="21"/>
            <w:szCs w:val="21"/>
            <w:lang w:eastAsia="fr-FR"/>
          </w:rPr>
          <w:t>parapet</w:t>
        </w:r>
      </w:hyperlink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 d'un pont ou des bornes demi-circulaires appelées « bornillons</w:t>
      </w:r>
      <w:hyperlink r:id="rId56" w:anchor="cite_note-1" w:history="1">
        <w:r w:rsidRPr="00122B34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eastAsia="fr-FR"/>
          </w:rPr>
          <w:t>1</w:t>
        </w:r>
      </w:hyperlink>
      <w:r w:rsidRPr="00122B34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 ». Le chasse-roue remettait « dans le droit chemin » le véhicule, moyennant une forte secousse pour les passagers.</w:t>
      </w:r>
    </w:p>
    <w:sectPr w:rsidR="00B90A01" w:rsidRPr="00122B34" w:rsidSect="00540E5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1"/>
    <w:rsid w:val="00122B34"/>
    <w:rsid w:val="00540E51"/>
    <w:rsid w:val="00B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0BA"/>
  <w15:chartTrackingRefBased/>
  <w15:docId w15:val="{02BF87B8-11A2-44DD-B2C7-E5AC6432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0A01"/>
    <w:rPr>
      <w:color w:val="0000FF"/>
      <w:u w:val="single"/>
    </w:rPr>
  </w:style>
  <w:style w:type="character" w:customStyle="1" w:styleId="romain">
    <w:name w:val="romain"/>
    <w:basedOn w:val="Policepardfaut"/>
    <w:rsid w:val="00B9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811" TargetMode="External"/><Relationship Id="rId18" Type="http://schemas.openxmlformats.org/officeDocument/2006/relationships/hyperlink" Target="https://fr.wikipedia.org/wiki/Paris" TargetMode="External"/><Relationship Id="rId26" Type="http://schemas.openxmlformats.org/officeDocument/2006/relationships/hyperlink" Target="https://fr.wikipedia.org/wiki/Abbaye_Notre-Dame_de_Coulombs" TargetMode="External"/><Relationship Id="rId39" Type="http://schemas.openxmlformats.org/officeDocument/2006/relationships/hyperlink" Target="https://fr.wikipedia.org/wiki/1633" TargetMode="External"/><Relationship Id="rId21" Type="http://schemas.openxmlformats.org/officeDocument/2006/relationships/hyperlink" Target="https://fr.wikipedia.org/wiki/Ch%C3%A2tellenie" TargetMode="External"/><Relationship Id="rId34" Type="http://schemas.openxmlformats.org/officeDocument/2006/relationships/hyperlink" Target="https://fr.wikipedia.org/wiki/Pierre_S%C3%A9guier_(1504-1580)" TargetMode="External"/><Relationship Id="rId42" Type="http://schemas.openxmlformats.org/officeDocument/2006/relationships/hyperlink" Target="https://fr.wikipedia.org/wiki/Victor_Hugo" TargetMode="External"/><Relationship Id="rId47" Type="http://schemas.openxmlformats.org/officeDocument/2006/relationships/hyperlink" Target="https://fr.wikipedia.org/wiki/Chantal_Goya" TargetMode="External"/><Relationship Id="rId50" Type="http://schemas.openxmlformats.org/officeDocument/2006/relationships/hyperlink" Target="https://fr.wikipedia.org/wiki/Mur" TargetMode="External"/><Relationship Id="rId55" Type="http://schemas.openxmlformats.org/officeDocument/2006/relationships/hyperlink" Target="https://fr.wikipedia.org/wiki/Parapet" TargetMode="External"/><Relationship Id="rId7" Type="http://schemas.openxmlformats.org/officeDocument/2006/relationships/hyperlink" Target="https://fr.wikipedia.org/wiki/M%C3%A9rovingiens" TargetMode="External"/><Relationship Id="rId12" Type="http://schemas.openxmlformats.org/officeDocument/2006/relationships/hyperlink" Target="https://fr.wikipedia.org/wiki/Louis_IX_de_France" TargetMode="External"/><Relationship Id="rId17" Type="http://schemas.openxmlformats.org/officeDocument/2006/relationships/hyperlink" Target="https://fr.wikipedia.org/wiki/Taille_(imp%C3%B4t)" TargetMode="External"/><Relationship Id="rId25" Type="http://schemas.openxmlformats.org/officeDocument/2006/relationships/hyperlink" Target="https://fr.wikipedia.org/wiki/Bl%C3%A9" TargetMode="External"/><Relationship Id="rId33" Type="http://schemas.openxmlformats.org/officeDocument/2006/relationships/hyperlink" Target="https://fr.wikipedia.org/wiki/Justice_seigneuriale" TargetMode="External"/><Relationship Id="rId38" Type="http://schemas.openxmlformats.org/officeDocument/2006/relationships/hyperlink" Target="https://fr.wikipedia.org/wiki/22_juin" TargetMode="External"/><Relationship Id="rId46" Type="http://schemas.openxmlformats.org/officeDocument/2006/relationships/hyperlink" Target="https://fr.wikipedia.org/wiki/Henri_Marr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Louis_VI_le_Gros" TargetMode="External"/><Relationship Id="rId20" Type="http://schemas.openxmlformats.org/officeDocument/2006/relationships/hyperlink" Target="https://fr.wikipedia.org/wiki/Seigneurie" TargetMode="External"/><Relationship Id="rId29" Type="http://schemas.openxmlformats.org/officeDocument/2006/relationships/hyperlink" Target="https://fr.wikipedia.org/wiki/Fourqueux" TargetMode="External"/><Relationship Id="rId41" Type="http://schemas.openxmlformats.org/officeDocument/2006/relationships/hyperlink" Target="https://fr.wikipedia.org/wiki/Michel_Bouvard_de_Fourqueux" TargetMode="External"/><Relationship Id="rId54" Type="http://schemas.openxmlformats.org/officeDocument/2006/relationships/hyperlink" Target="https://fr.wikipedia.org/wiki/Moyen_%C3%82g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Fourqueux" TargetMode="External"/><Relationship Id="rId11" Type="http://schemas.openxmlformats.org/officeDocument/2006/relationships/hyperlink" Target="https://fr.wikipedia.org/wiki/Vraie_Croix" TargetMode="External"/><Relationship Id="rId24" Type="http://schemas.openxmlformats.org/officeDocument/2006/relationships/hyperlink" Target="https://fr.wikipedia.org/wiki/Muid" TargetMode="External"/><Relationship Id="rId32" Type="http://schemas.openxmlformats.org/officeDocument/2006/relationships/hyperlink" Target="https://fr.wikipedia.org/wiki/Colonat_partiaire" TargetMode="External"/><Relationship Id="rId37" Type="http://schemas.openxmlformats.org/officeDocument/2006/relationships/hyperlink" Target="https://fr.wikipedia.org/wiki/Louis_XIII" TargetMode="External"/><Relationship Id="rId40" Type="http://schemas.openxmlformats.org/officeDocument/2006/relationships/hyperlink" Target="https://fr.wikipedia.org/wiki/R%C3%A9volution_fran%C3%A7aise" TargetMode="External"/><Relationship Id="rId45" Type="http://schemas.openxmlformats.org/officeDocument/2006/relationships/hyperlink" Target="https://fr.wikipedia.org/wiki/Premi%C3%A8re_Guerre_mondiale" TargetMode="External"/><Relationship Id="rId53" Type="http://schemas.openxmlformats.org/officeDocument/2006/relationships/hyperlink" Target="https://fr.wikipedia.org/wiki/Moye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fr.wikipedia.org/wiki/N%C3%A9olithique" TargetMode="External"/><Relationship Id="rId15" Type="http://schemas.openxmlformats.org/officeDocument/2006/relationships/hyperlink" Target="https://fr.wikipedia.org/wiki/1111" TargetMode="External"/><Relationship Id="rId23" Type="http://schemas.openxmlformats.org/officeDocument/2006/relationships/hyperlink" Target="https://fr.wikipedia.org/wiki/1124" TargetMode="External"/><Relationship Id="rId28" Type="http://schemas.openxmlformats.org/officeDocument/2006/relationships/hyperlink" Target="https://fr.wikipedia.org/wiki/Filicophyta" TargetMode="External"/><Relationship Id="rId36" Type="http://schemas.openxmlformats.org/officeDocument/2006/relationships/hyperlink" Target="https://fr.wikipedia.org/wiki/Armand_Jean_du_Plessis_de_Richelieu" TargetMode="External"/><Relationship Id="rId49" Type="http://schemas.openxmlformats.org/officeDocument/2006/relationships/hyperlink" Target="https://fr.wikipedia.org/wiki/Porte_coch%C3%A8r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r.wikipedia.org/wiki/Chapelle" TargetMode="External"/><Relationship Id="rId19" Type="http://schemas.openxmlformats.org/officeDocument/2006/relationships/hyperlink" Target="https://fr.wikipedia.org/wiki/Boulanger" TargetMode="External"/><Relationship Id="rId31" Type="http://schemas.openxmlformats.org/officeDocument/2006/relationships/hyperlink" Target="https://fr.wikipedia.org/wiki/Essart" TargetMode="External"/><Relationship Id="rId44" Type="http://schemas.openxmlformats.org/officeDocument/2006/relationships/hyperlink" Target="https://fr.wikipedia.org/wiki/Alexandre_Dumas" TargetMode="External"/><Relationship Id="rId52" Type="http://schemas.openxmlformats.org/officeDocument/2006/relationships/hyperlink" Target="https://fr.wikipedia.org/wiki/Cocher" TargetMode="External"/><Relationship Id="rId4" Type="http://schemas.openxmlformats.org/officeDocument/2006/relationships/hyperlink" Target="https://fr.wikipedia.org/wiki/XIXe_si%C3%A8cle" TargetMode="External"/><Relationship Id="rId9" Type="http://schemas.openxmlformats.org/officeDocument/2006/relationships/hyperlink" Target="https://fr.wikipedia.org/wiki/Clotilde_(femme_de_Thierry_III)" TargetMode="External"/><Relationship Id="rId14" Type="http://schemas.openxmlformats.org/officeDocument/2006/relationships/hyperlink" Target="https://fr.wikipedia.org/wiki/Charlemagne" TargetMode="External"/><Relationship Id="rId22" Type="http://schemas.openxmlformats.org/officeDocument/2006/relationships/hyperlink" Target="https://fr.wikipedia.org/wiki/Poissy" TargetMode="External"/><Relationship Id="rId27" Type="http://schemas.openxmlformats.org/officeDocument/2006/relationships/hyperlink" Target="https://fr.wikipedia.org/wiki/Moyen_%C3%82ge" TargetMode="External"/><Relationship Id="rId30" Type="http://schemas.openxmlformats.org/officeDocument/2006/relationships/hyperlink" Target="https://fr.wikipedia.org/wiki/Abbaye_de_Joyenval" TargetMode="External"/><Relationship Id="rId35" Type="http://schemas.openxmlformats.org/officeDocument/2006/relationships/hyperlink" Target="https://fr.wikipedia.org/wiki/Pierre_S%C3%A9guier" TargetMode="External"/><Relationship Id="rId43" Type="http://schemas.openxmlformats.org/officeDocument/2006/relationships/hyperlink" Target="https://fr.wikipedia.org/wiki/L%C3%A9opoldine_Hugo" TargetMode="External"/><Relationship Id="rId48" Type="http://schemas.openxmlformats.org/officeDocument/2006/relationships/hyperlink" Target="https://fr.wikipedia.org/wiki/Jean-Jacques_Debout" TargetMode="External"/><Relationship Id="rId56" Type="http://schemas.openxmlformats.org/officeDocument/2006/relationships/hyperlink" Target="https://fr.wikipedia.org/wiki/Chasse-roue" TargetMode="External"/><Relationship Id="rId8" Type="http://schemas.openxmlformats.org/officeDocument/2006/relationships/hyperlink" Target="https://fr.wikipedia.org/wiki/Baptist%C3%A8re" TargetMode="External"/><Relationship Id="rId51" Type="http://schemas.openxmlformats.org/officeDocument/2006/relationships/hyperlink" Target="https://fr.wikipedia.org/wiki/Voiture_(hippomobile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1321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Le Bouffo</dc:creator>
  <cp:keywords/>
  <dc:description/>
  <cp:lastModifiedBy>claire landre-hssaina</cp:lastModifiedBy>
  <cp:revision>3</cp:revision>
  <dcterms:created xsi:type="dcterms:W3CDTF">2021-04-12T15:11:00Z</dcterms:created>
  <dcterms:modified xsi:type="dcterms:W3CDTF">2021-04-12T22:17:00Z</dcterms:modified>
</cp:coreProperties>
</file>